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威海市人民政府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政府信息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5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根据《中华人民共和国政府信息公开条例》（国务院令第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711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号，以下简称《条例》）和《中华人民共和国政府信息公开工作年度报告格式》（国办公开办函〔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2021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〕30号）要求，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现公布威海市人民政府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年政府信息公开工作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报告。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5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本报告内容包括：总体情况、主动公开政府信息情况、收到和处理政府信息公开申请情况、政府信息公开行政复议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行政诉讼情况、存在的主要问题及改进情况、其他事项，以及相关指标统计附表等。报告中所列数据统计期限从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日到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日止。报告电子版可从威海市人民政府门户网站（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</w:rPr>
        <w:t>http://www.weihai.gov.cn/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查阅或下载。公众如需进一步咨询了解相关信息，请与威海市人民政府办公室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政务公开科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联系（地址：威海市环翠区新威路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号，电话：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0631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5218070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5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一、总体情况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年，</w:t>
      </w:r>
      <w:r>
        <w:rPr>
          <w:rFonts w:hint="eastAsia" w:eastAsia="仿宋_GB2312" w:cs="仿宋_GB2312"/>
          <w:color w:val="auto"/>
          <w:sz w:val="32"/>
          <w:szCs w:val="32"/>
          <w:lang w:val="en-US" w:eastAsia="zh-CN"/>
        </w:rPr>
        <w:t>威海市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深入贯彻中央、省关于做好新时代政务公开工作的部署要求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紧紧围绕市委、市政府中心工作，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牢固树立以人民为中心的发展理念，着力解决人民群众急难愁盼问题，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推动政务公开各项工作提质增效</w:t>
      </w:r>
      <w:r>
        <w:rPr>
          <w:rFonts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Style w:val="15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Style w:val="15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一）</w:t>
      </w:r>
      <w:r>
        <w:rPr>
          <w:rStyle w:val="15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主动公开。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全市共主动公开政府信息15.8万条，发布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市政府规章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行政规范性文件70件、市政府常务会议16次并全部解读，多形式开展政民、政企互动，依托政府网站互动交流专题开展意见征集73次、回应网上民声8674条。组织开展“阳光透明·公开入威”政府开放日活动204场，不断提升政府工作服务水平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Style w:val="15"/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（二）依申请公开。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指导全市各行政机关充分利用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全市政府信息依申请公开一体化处理平台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规范办理流程，加强部门会商，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最大程度化解矛盾、解决诉求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年，全市共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办理2745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件，同比增长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70.0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从办理结果来看，予以公开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%；部分公开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295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件，占1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%；不予公开2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.7%；无法提供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1352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件，占4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%；不予处理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%；其他处理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件，占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5"/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（三）政府信息管理。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持续深化政策及解读集中统一公开，归集展示政府规章、规范性文件、部门文件和区市文件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等7类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共4000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政策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。在政府门户网站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开设惠企政策专区，收录国家、省、市各领域重点惠企政策246项，按减税降费、金融支持、资金奖补、优化服务等多维度分类，实时查询相关政策依据、执行期限、申报条件、办理流程、咨询服务等信息，切实解决惠企政策“找不到、看不懂”等问题。建立健全信息公开协调机制，指导全市行政机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规范编制主动公开事项目录，逐项明确公开主体、内容、时限、方式、渠道、责任等。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15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Style w:val="15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四）</w:t>
      </w:r>
      <w:r>
        <w:rPr>
          <w:rStyle w:val="15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平台建设。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依托全市大数据“大模型”云平台，在市政府网站搭建知识分类和大语言模型，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通过</w:t>
      </w:r>
      <w:r>
        <w:rPr>
          <w:rFonts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高频政策咨询事项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搜索反馈分析，不断充实完善问询</w:t>
      </w:r>
      <w:r>
        <w:rPr>
          <w:rFonts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知识库，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创建</w:t>
      </w:r>
      <w:r>
        <w:rPr>
          <w:rFonts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政府门户网站政策问答平台，及时主动回应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社会</w:t>
      </w:r>
      <w:r>
        <w:rPr>
          <w:rFonts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关切。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深入开展整治“指尖上的形式主义”，清理整合政务新媒体账号135个，占清理前总数的43%。其中，各区市、开发区共清理账号109个，占清理总数的77%。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黑体" w:eastAsia="仿宋_GB2312" w:cs="仿宋_GB2312"/>
          <w:color w:val="auto"/>
          <w:sz w:val="32"/>
          <w:szCs w:val="32"/>
        </w:rPr>
      </w:pPr>
      <w:r>
        <w:rPr>
          <w:rStyle w:val="15"/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（五）监督保障。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根据国家、省、市关于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做好新时代政务公开工作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的部署要求，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编制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《2024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威海市政务公开重点工作及责任分工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》，明确完成时限，定期督导调度，确保重点工作落实到位。将“重要政策解读率”纳入全市高质量发展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综合绩效考核指标体系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，统筹、精简、高效开展政务公开各项工作，切实减轻基层负担</w:t>
      </w: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二、主动公开政府信息情况</w:t>
      </w:r>
    </w:p>
    <w:tbl>
      <w:tblPr>
        <w:tblStyle w:val="13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8"/>
        <w:gridCol w:w="2147"/>
        <w:gridCol w:w="1768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第二十条 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信息内容</w:t>
            </w: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本年制发件数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本年废止件数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8"/>
                <w:kern w:val="0"/>
                <w:sz w:val="24"/>
                <w:highlight w:val="none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规章</w:t>
            </w: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0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规范性文件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70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80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566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第二十条 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信息内容</w:t>
            </w:r>
          </w:p>
        </w:tc>
        <w:tc>
          <w:tcPr>
            <w:tcW w:w="5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行政许可</w:t>
            </w:r>
          </w:p>
        </w:tc>
        <w:tc>
          <w:tcPr>
            <w:tcW w:w="56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2396726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第二十条 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信息内容</w:t>
            </w:r>
          </w:p>
        </w:tc>
        <w:tc>
          <w:tcPr>
            <w:tcW w:w="5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行政处罚</w:t>
            </w:r>
          </w:p>
        </w:tc>
        <w:tc>
          <w:tcPr>
            <w:tcW w:w="5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1221957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行政强制</w:t>
            </w:r>
          </w:p>
        </w:tc>
        <w:tc>
          <w:tcPr>
            <w:tcW w:w="56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27538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第二十条 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</w:rPr>
              <w:t>信息内容</w:t>
            </w:r>
          </w:p>
        </w:tc>
        <w:tc>
          <w:tcPr>
            <w:tcW w:w="565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行政事业性收费</w:t>
            </w:r>
          </w:p>
        </w:tc>
        <w:tc>
          <w:tcPr>
            <w:tcW w:w="565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" w:lineRule="atLeas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30227.80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三、收到和处理政府信息公开申请情况</w:t>
      </w:r>
    </w:p>
    <w:tbl>
      <w:tblPr>
        <w:tblStyle w:val="13"/>
        <w:tblW w:w="932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976"/>
        <w:gridCol w:w="709"/>
        <w:gridCol w:w="567"/>
        <w:gridCol w:w="567"/>
        <w:gridCol w:w="567"/>
        <w:gridCol w:w="567"/>
        <w:gridCol w:w="593"/>
        <w:gridCol w:w="8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9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等于第三项加第四项之和）</w:t>
            </w:r>
          </w:p>
        </w:tc>
        <w:tc>
          <w:tcPr>
            <w:tcW w:w="440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9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自然人</w:t>
            </w:r>
          </w:p>
        </w:tc>
        <w:tc>
          <w:tcPr>
            <w:tcW w:w="286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法人或其他组织</w:t>
            </w:r>
          </w:p>
        </w:tc>
        <w:tc>
          <w:tcPr>
            <w:tcW w:w="83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9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6" w:leftChars="-51" w:right="-107" w:rightChars="-51" w:hanging="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7" w:leftChars="-51" w:right="-107" w:rightChars="-5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6" w:leftChars="-51" w:right="-107" w:rightChars="-51" w:hanging="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法律服务机构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3" w:leftChars="-30" w:right="-134" w:rightChars="-64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83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2785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2809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二、上年结转政府信息公开申请数量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三、本年度办理结果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（一）予以公开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620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632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292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295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7" w:leftChars="-51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（三）不予公开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1.属于国家秘密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2.其他法律行政法规禁止公开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3.危及“三安全一稳定”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4.保护第三方合法权益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68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5.属于三类内部事务信息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6.属于四类过程性信息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7.属于行政执法案卷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8.属于行政查询事项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75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7" w:leftChars="-51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（四）无法提供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1.本机关不掌握相关政府信息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1309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7" w:leftChars="-51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2.没有现成信息需要另行制作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7" w:leftChars="-51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3.补正后申请内容仍不明确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7" w:leftChars="-51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（五）不予处理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1.信访举报投诉类申请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2.重复申请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50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3.要求提供公开出版物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4.无正当理由大量反复申请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07" w:leftChars="-51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（六）其他处理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1" w:leftChars="48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46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1" w:leftChars="48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976" w:type="dxa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3.其他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116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</w:rPr>
              <w:t>（七）总计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2721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2745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四、结转下年度继续办理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103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四、政府信息公开行政复议、行政诉讼情况</w:t>
      </w:r>
    </w:p>
    <w:tbl>
      <w:tblPr>
        <w:tblStyle w:val="1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9" w:leftChars="-71" w:right="-170" w:rightChars="-8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49" w:leftChars="-71" w:right="-170" w:rightChars="-8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43" w:leftChars="-21" w:right="-132" w:rightChars="-63" w:hanging="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82" w:leftChars="-39" w:right="-97" w:rightChars="-46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18" w:leftChars="-56" w:right="-118" w:rightChars="-5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18" w:leftChars="-56" w:right="-118" w:rightChars="-56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26" w:rightChars="-6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86" w:leftChars="-41" w:right="-88" w:rightChars="-42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6" w:leftChars="-60" w:right="-136" w:rightChars="-6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26" w:leftChars="-60" w:right="-136" w:rightChars="-65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4" w:leftChars="-78" w:right="-153" w:rightChars="-7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4" w:leftChars="-78" w:right="-153" w:rightChars="-73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99" w:leftChars="-47" w:right="-78" w:rightChars="-3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36" w:leftChars="-65" w:right="-124" w:rightChars="-59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36" w:leftChars="-65" w:right="-124" w:rightChars="-59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73" w:leftChars="-83" w:right="-134" w:rightChars="-64" w:hanging="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73" w:leftChars="-83" w:right="-134" w:rightChars="-64" w:hanging="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67" w:leftChars="-33" w:right="-105" w:rightChars="-50" w:hanging="2" w:hangingChars="1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66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49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149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13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（一）存在问题。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政府文件库功能拓展不足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  <w:lang w:val="en-US" w:eastAsia="zh-CN" w:bidi="ar"/>
        </w:rPr>
        <w:t>是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  <w:lang w:val="en-US" w:eastAsia="zh-CN" w:bidi="ar"/>
        </w:rPr>
        <w:t>政府信息公开申请智能化办理不足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strike w:val="0"/>
          <w:dstrike w:val="0"/>
          <w:color w:val="auto"/>
          <w:kern w:val="0"/>
          <w:sz w:val="32"/>
          <w:szCs w:val="32"/>
          <w:lang w:val="en-US" w:eastAsia="zh-CN" w:bidi="ar"/>
        </w:rPr>
        <w:t>改进措施。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针对存在的问题，202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年将采取更加积极有效的举措进行整改提升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一是拓展政府文件库功能应用。通过优化查询分类和文件库页面板块设计，提高文件查询的便捷性。拓展文件服务广度，实现政府文件库在电脑端、移动端、自助终端设备等渠道的全覆盖。加强主题场景专题政策库建设，着力解决群众“找不到、看不懂、不会办、问不清、反馈不了”等情况。二是推进依申请公开办理规范智能。依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现有依申请公开一体化平台，探索建立集分类归集、智能筛选等多种功能的依申请公开案例库，逐步实现依申请公开办理智能化。针对个别律所滥用诉权行为，积极与各级法院对接，强化“府院联动”，探索从源头解决问题的新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政府信息公开收费方面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根据《政府信息公开信息处理费管理办法》（国办函〔2020〕109号）规定，2024年全市共收取信息公开处理费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0.08万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元。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人大代表、政协委员提案办理方面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4年，政府系统共承办代表建议116件，经有关部门认真研究办理，目前已全部办结并答复代表，办复率100%。其中，办理结果为A类（所提问题已解决或基本解决）112件，占比96.5%；办理结果为B类（所提问题部分解决或列入计划逐步解决）1件，占比0.9%；办理结果为C类（所提问题受客观条件限制暂时难以解决，待时机成熟后予以解决）2件，占比1.7%；办理结果为D类（所提问题留作参考）1件，占比0.9%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2024年，政府系统共承办政协提案200件，经有关部门认真研究办理，目前已全部办结并答复，办复率100%。其中，办理结果为A类（所提问题已解决或基本解决）的191件，占比95.5%；办理结果为B类（所提问题部分解决或列入计划逐步解决）的7件，占比3.5%；办理结果为C类（所提问题受客观条件限制暂时难以解决，待时机成熟后予以解决）的2件，占比1%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落实上级政务公开工作要点方面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一是统筹保密安全和公开业务管理。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健全信息公开保密审查相关机制，严格保密审查程序，加强已公开信息管理，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定期清理已经不具备实际效用的信息，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组织开展敏感信息的专项整治清理，进一步防范开源信息汇集所造成的泄密风险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二是编制完善主动公开事项目录。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en-US" w:eastAsia="zh-CN" w:bidi="ar-SA"/>
        </w:rPr>
        <w:t>结合我市实际，指导各级、各行业领域自上而下全面梳理现行有效的法律、法规、规章，分领域、分层级编制主动公开事项目录，做到法定公开事项主动公开到位，其他事项审慎主动公开。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三是扎实推进依申请公开答复办理。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指导全市各行政机关充分利用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全市政府信息依申请公开一体化处理平台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规范办理流程，加强部门会商，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最大程度化解矛盾、解决诉求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提升公众对政府信息公开满意度。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创新工作方面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一是持续推动“高效办成一件事”。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统筹推进“1+7+N”政务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公开专区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集成化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布局，选取群众办事需求较高的公积金、医保、社保、就业和人才服务、不动产登记等8大专项领域，高标准一体化打造政务公开和政民互动新业态，逐步打通政策数据共享壁垒，进一步优化政务服务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提升行政效能。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深化公共企事业单位信息公开。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坚持以强化监督、优化服务、保障权益、防范风险为目标，加强对用户用工数量多、公共属性强的公共企事业单位信息公开的监督管理。打造交通运输领域公共企事业单位政务公开品牌，切实解决交通运输行业发展瓶颈问题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推动《山东省威海市交通运输领域政务公开的探索与实践》在《中国政务公开发展报告》中刊发，典型经验在全国推广。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（五）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其他方面</w:t>
      </w:r>
    </w:p>
    <w:p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清华大学公共管理学院、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国家治理研究院、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计算社会科学与国家治理实验室联合发布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《2024年网上政府创新发展报告》，威海市政府网站位列全国地级市政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府门户网站第四名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 w:bidi="ar-SA"/>
        </w:rPr>
        <w:t>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OTM3ZDBkNmIyMjVlNzY2Y2FjZDU2ZWFmMTA2NmUifQ=="/>
  </w:docVars>
  <w:rsids>
    <w:rsidRoot w:val="443126C5"/>
    <w:rsid w:val="00081979"/>
    <w:rsid w:val="000B2EDD"/>
    <w:rsid w:val="000F56E9"/>
    <w:rsid w:val="0011370E"/>
    <w:rsid w:val="00140694"/>
    <w:rsid w:val="00151810"/>
    <w:rsid w:val="00163D33"/>
    <w:rsid w:val="00164E19"/>
    <w:rsid w:val="00172EAC"/>
    <w:rsid w:val="0018768C"/>
    <w:rsid w:val="001A1653"/>
    <w:rsid w:val="002450A6"/>
    <w:rsid w:val="00267436"/>
    <w:rsid w:val="00452B4D"/>
    <w:rsid w:val="00495C5E"/>
    <w:rsid w:val="004A253E"/>
    <w:rsid w:val="004D40C0"/>
    <w:rsid w:val="004E7865"/>
    <w:rsid w:val="004F0FDC"/>
    <w:rsid w:val="005003C3"/>
    <w:rsid w:val="00517914"/>
    <w:rsid w:val="00547C6C"/>
    <w:rsid w:val="00553EEE"/>
    <w:rsid w:val="00570141"/>
    <w:rsid w:val="005931AD"/>
    <w:rsid w:val="005F18FC"/>
    <w:rsid w:val="00603B5C"/>
    <w:rsid w:val="0062109F"/>
    <w:rsid w:val="00652543"/>
    <w:rsid w:val="006841EE"/>
    <w:rsid w:val="00691115"/>
    <w:rsid w:val="006A1294"/>
    <w:rsid w:val="006B2481"/>
    <w:rsid w:val="00727A99"/>
    <w:rsid w:val="00731AB6"/>
    <w:rsid w:val="007356A6"/>
    <w:rsid w:val="00770E79"/>
    <w:rsid w:val="007D7731"/>
    <w:rsid w:val="00812BE7"/>
    <w:rsid w:val="0087304C"/>
    <w:rsid w:val="008E7556"/>
    <w:rsid w:val="00955E79"/>
    <w:rsid w:val="00956238"/>
    <w:rsid w:val="0096259D"/>
    <w:rsid w:val="009D2D4F"/>
    <w:rsid w:val="009D32D8"/>
    <w:rsid w:val="00A57861"/>
    <w:rsid w:val="00B077EB"/>
    <w:rsid w:val="00B1738D"/>
    <w:rsid w:val="00B232D5"/>
    <w:rsid w:val="00B3353F"/>
    <w:rsid w:val="00BD7DF6"/>
    <w:rsid w:val="00BE39BE"/>
    <w:rsid w:val="00C6293C"/>
    <w:rsid w:val="00D02470"/>
    <w:rsid w:val="00DB173F"/>
    <w:rsid w:val="00DE033E"/>
    <w:rsid w:val="00E575ED"/>
    <w:rsid w:val="00EA31B4"/>
    <w:rsid w:val="00EA746F"/>
    <w:rsid w:val="00F05398"/>
    <w:rsid w:val="00F33827"/>
    <w:rsid w:val="00FF0339"/>
    <w:rsid w:val="016B23E6"/>
    <w:rsid w:val="01971882"/>
    <w:rsid w:val="01C61569"/>
    <w:rsid w:val="0237203D"/>
    <w:rsid w:val="03CB34D2"/>
    <w:rsid w:val="04130301"/>
    <w:rsid w:val="08567EA9"/>
    <w:rsid w:val="0BB420A0"/>
    <w:rsid w:val="0E781F8E"/>
    <w:rsid w:val="110964CB"/>
    <w:rsid w:val="130A1B39"/>
    <w:rsid w:val="147432F6"/>
    <w:rsid w:val="15230255"/>
    <w:rsid w:val="15411855"/>
    <w:rsid w:val="15E05C01"/>
    <w:rsid w:val="15F125AF"/>
    <w:rsid w:val="166578D1"/>
    <w:rsid w:val="16DD4C11"/>
    <w:rsid w:val="17B64D5E"/>
    <w:rsid w:val="17EB423C"/>
    <w:rsid w:val="18986BD5"/>
    <w:rsid w:val="19B354BE"/>
    <w:rsid w:val="1B3B2C29"/>
    <w:rsid w:val="1C4E690A"/>
    <w:rsid w:val="1D814C9E"/>
    <w:rsid w:val="1DEC22AB"/>
    <w:rsid w:val="200A612A"/>
    <w:rsid w:val="23F966A6"/>
    <w:rsid w:val="26F56263"/>
    <w:rsid w:val="291F5947"/>
    <w:rsid w:val="2B1C7CED"/>
    <w:rsid w:val="2BB40671"/>
    <w:rsid w:val="2D3B0C3F"/>
    <w:rsid w:val="2DE27F75"/>
    <w:rsid w:val="2E7E68CD"/>
    <w:rsid w:val="2EA737C2"/>
    <w:rsid w:val="2EE460A2"/>
    <w:rsid w:val="2FBD7F6B"/>
    <w:rsid w:val="327E2B6A"/>
    <w:rsid w:val="370A1A3A"/>
    <w:rsid w:val="37243CF2"/>
    <w:rsid w:val="3BFA0C6E"/>
    <w:rsid w:val="40CA6978"/>
    <w:rsid w:val="430D5439"/>
    <w:rsid w:val="443126C5"/>
    <w:rsid w:val="44B32EED"/>
    <w:rsid w:val="46AB7A97"/>
    <w:rsid w:val="482B265C"/>
    <w:rsid w:val="4F4C658F"/>
    <w:rsid w:val="536818C7"/>
    <w:rsid w:val="550B6426"/>
    <w:rsid w:val="59FD46A1"/>
    <w:rsid w:val="5DA87328"/>
    <w:rsid w:val="5DBD43D1"/>
    <w:rsid w:val="5E8B5A5F"/>
    <w:rsid w:val="616E6F55"/>
    <w:rsid w:val="62497AF7"/>
    <w:rsid w:val="633D51A2"/>
    <w:rsid w:val="64D72BF0"/>
    <w:rsid w:val="696C69FD"/>
    <w:rsid w:val="6A2A60E7"/>
    <w:rsid w:val="6B9247B6"/>
    <w:rsid w:val="6CBC40EB"/>
    <w:rsid w:val="6F1D3098"/>
    <w:rsid w:val="71CC6BF8"/>
    <w:rsid w:val="76CC3269"/>
    <w:rsid w:val="779FD545"/>
    <w:rsid w:val="77B21FEC"/>
    <w:rsid w:val="7A20462D"/>
    <w:rsid w:val="7ACFFA8A"/>
    <w:rsid w:val="7AD9600F"/>
    <w:rsid w:val="AB6F6D29"/>
    <w:rsid w:val="BF3F0A94"/>
    <w:rsid w:val="DFFD0DD6"/>
    <w:rsid w:val="E7FA3C13"/>
    <w:rsid w:val="EAF3611F"/>
    <w:rsid w:val="F2773A3B"/>
    <w:rsid w:val="FDB8F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rPr>
      <w:rFonts w:ascii="仿宋" w:hAnsi="仿宋" w:eastAsia="仿宋" w:cs="仿宋"/>
      <w:b/>
      <w:bCs/>
      <w:color w:val="000000"/>
      <w:sz w:val="28"/>
      <w:szCs w:val="2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Date1"/>
    <w:basedOn w:val="1"/>
    <w:next w:val="1"/>
    <w:qFormat/>
    <w:uiPriority w:val="0"/>
    <w:rPr>
      <w:szCs w:val="20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21"/>
    <w:qFormat/>
    <w:uiPriority w:val="0"/>
    <w:rPr>
      <w:sz w:val="18"/>
      <w:szCs w:val="18"/>
    </w:rPr>
  </w:style>
  <w:style w:type="paragraph" w:styleId="8">
    <w:name w:val="footer"/>
    <w:basedOn w:val="1"/>
    <w:next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8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3"/>
    <w:qFormat/>
    <w:uiPriority w:val="0"/>
    <w:pPr>
      <w:ind w:firstLine="420" w:firstLineChars="100"/>
    </w:pPr>
  </w:style>
  <w:style w:type="paragraph" w:styleId="12">
    <w:name w:val="Body Text First Indent 2"/>
    <w:basedOn w:val="5"/>
    <w:next w:val="11"/>
    <w:semiHidden/>
    <w:unhideWhenUsed/>
    <w:qFormat/>
    <w:uiPriority w:val="99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17">
    <w:name w:val="页眉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日期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批注框文本 Char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page number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3784</Words>
  <Characters>3908</Characters>
  <Lines>90</Lines>
  <Paragraphs>51</Paragraphs>
  <TotalTime>74</TotalTime>
  <ScaleCrop>false</ScaleCrop>
  <LinksUpToDate>false</LinksUpToDate>
  <CharactersWithSpaces>3919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2021-12-04T08:28:00Z</dcterms:created>
  <dc:creator>诗人与熊</dc:creator>
  <cp:lastModifiedBy>user</cp:lastModifiedBy>
  <cp:lastPrinted>2025-03-08T00:57:00Z</cp:lastPrinted>
  <dcterms:modified xsi:type="dcterms:W3CDTF">2025-03-07T18:32:12Z</dcterms:modified>
  <dc:title>威海市人民政府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CFC22E047FB64C4A81FB5471EEBE3DB2</vt:lpwstr>
  </property>
</Properties>
</file>